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3D5B5" w14:textId="5570B83A" w:rsidR="00705AC6" w:rsidRPr="007C4BCF" w:rsidRDefault="00F239F9" w:rsidP="00705AC6">
      <w:pPr>
        <w:pBdr>
          <w:bottom w:val="single" w:sz="4" w:space="1" w:color="auto"/>
        </w:pBdr>
        <w:spacing w:line="360" w:lineRule="auto"/>
        <w:rPr>
          <w:b/>
          <w:sz w:val="28"/>
          <w:szCs w:val="28"/>
        </w:rPr>
      </w:pPr>
      <w:r>
        <w:rPr>
          <w:b/>
          <w:sz w:val="28"/>
          <w:szCs w:val="28"/>
        </w:rPr>
        <w:t>Voranschlag 20</w:t>
      </w:r>
      <w:r w:rsidR="00A71527">
        <w:rPr>
          <w:b/>
          <w:sz w:val="28"/>
          <w:szCs w:val="28"/>
        </w:rPr>
        <w:t>2</w:t>
      </w:r>
      <w:r w:rsidR="00E00C19">
        <w:rPr>
          <w:b/>
          <w:sz w:val="28"/>
          <w:szCs w:val="28"/>
        </w:rPr>
        <w:t>2</w:t>
      </w:r>
      <w:r w:rsidR="00705AC6">
        <w:rPr>
          <w:b/>
          <w:sz w:val="28"/>
          <w:szCs w:val="28"/>
        </w:rPr>
        <w:t>/ Finanzplan 20</w:t>
      </w:r>
      <w:r>
        <w:rPr>
          <w:b/>
          <w:sz w:val="28"/>
          <w:szCs w:val="28"/>
        </w:rPr>
        <w:t>2</w:t>
      </w:r>
      <w:r w:rsidR="00E00C19">
        <w:rPr>
          <w:b/>
          <w:sz w:val="28"/>
          <w:szCs w:val="28"/>
        </w:rPr>
        <w:t>3</w:t>
      </w:r>
      <w:r w:rsidR="00705AC6">
        <w:rPr>
          <w:b/>
          <w:sz w:val="28"/>
          <w:szCs w:val="28"/>
        </w:rPr>
        <w:t>-202</w:t>
      </w:r>
      <w:r w:rsidR="00E00C19">
        <w:rPr>
          <w:b/>
          <w:sz w:val="28"/>
          <w:szCs w:val="28"/>
        </w:rPr>
        <w:t>5</w:t>
      </w:r>
      <w:r w:rsidR="00705AC6">
        <w:rPr>
          <w:b/>
          <w:sz w:val="28"/>
          <w:szCs w:val="28"/>
        </w:rPr>
        <w:t xml:space="preserve"> - Eintreten</w:t>
      </w:r>
    </w:p>
    <w:p w14:paraId="4A029782" w14:textId="279D0E28" w:rsidR="00672D86" w:rsidRDefault="00672D86" w:rsidP="00672D86">
      <w:pPr>
        <w:tabs>
          <w:tab w:val="left" w:pos="5103"/>
        </w:tabs>
        <w:rPr>
          <w:sz w:val="28"/>
          <w:szCs w:val="28"/>
        </w:rPr>
      </w:pPr>
      <w:r w:rsidRPr="00672D86">
        <w:rPr>
          <w:sz w:val="28"/>
          <w:szCs w:val="28"/>
        </w:rPr>
        <w:t>Die glp-Fraktion dankt dem Regierungsrat und den Mitarbeitenden der kantonalen Verwaltung für die sorgfältige und umfassende Berichterstattung zum Budget 20</w:t>
      </w:r>
      <w:r w:rsidR="00A71527">
        <w:rPr>
          <w:sz w:val="28"/>
          <w:szCs w:val="28"/>
        </w:rPr>
        <w:t>2</w:t>
      </w:r>
      <w:r w:rsidR="00E00C19">
        <w:rPr>
          <w:sz w:val="28"/>
          <w:szCs w:val="28"/>
        </w:rPr>
        <w:t>2</w:t>
      </w:r>
      <w:r w:rsidRPr="00672D86">
        <w:rPr>
          <w:sz w:val="28"/>
          <w:szCs w:val="28"/>
        </w:rPr>
        <w:t xml:space="preserve"> und der Finanzplanung 2</w:t>
      </w:r>
      <w:r w:rsidR="00E00C19">
        <w:rPr>
          <w:sz w:val="28"/>
          <w:szCs w:val="28"/>
        </w:rPr>
        <w:t xml:space="preserve">3-25. </w:t>
      </w:r>
    </w:p>
    <w:p w14:paraId="475130CC" w14:textId="542BF484" w:rsidR="00F612EF" w:rsidRDefault="00E00C19" w:rsidP="00F612EF">
      <w:pPr>
        <w:tabs>
          <w:tab w:val="left" w:pos="5103"/>
        </w:tabs>
        <w:rPr>
          <w:b/>
          <w:bCs/>
          <w:i/>
          <w:iCs/>
          <w:sz w:val="28"/>
          <w:szCs w:val="28"/>
        </w:rPr>
      </w:pPr>
      <w:r>
        <w:rPr>
          <w:b/>
          <w:bCs/>
          <w:i/>
          <w:iCs/>
          <w:sz w:val="28"/>
          <w:szCs w:val="28"/>
        </w:rPr>
        <w:t>«</w:t>
      </w:r>
      <w:r w:rsidR="00023729">
        <w:rPr>
          <w:b/>
          <w:bCs/>
          <w:i/>
          <w:iCs/>
          <w:sz w:val="28"/>
          <w:szCs w:val="28"/>
        </w:rPr>
        <w:t>Die glp will 3 x 9</w:t>
      </w:r>
      <w:r>
        <w:rPr>
          <w:b/>
          <w:bCs/>
          <w:i/>
          <w:iCs/>
          <w:sz w:val="28"/>
          <w:szCs w:val="28"/>
        </w:rPr>
        <w:t>»</w:t>
      </w:r>
      <w:r w:rsidR="00F612EF">
        <w:rPr>
          <w:b/>
          <w:bCs/>
          <w:i/>
          <w:iCs/>
          <w:sz w:val="28"/>
          <w:szCs w:val="28"/>
        </w:rPr>
        <w:t xml:space="preserve"> - Wo wir dies fordern, erklären wir Ihnen gleich. </w:t>
      </w:r>
    </w:p>
    <w:p w14:paraId="6B527555" w14:textId="6A86621B" w:rsidR="00174E1C" w:rsidRDefault="00174E1C" w:rsidP="00174E1C">
      <w:pPr>
        <w:tabs>
          <w:tab w:val="left" w:pos="5103"/>
        </w:tabs>
        <w:rPr>
          <w:sz w:val="28"/>
          <w:szCs w:val="28"/>
        </w:rPr>
      </w:pPr>
      <w:r>
        <w:rPr>
          <w:sz w:val="28"/>
          <w:szCs w:val="28"/>
        </w:rPr>
        <w:t xml:space="preserve">Auf den ersten Blick kommt das Budget 2022 mit einer roten Null von 1.6 Mio. Defizit unspektakulär und der Situation geschuldet solide daher. Auch die Tatsache, dass bereits alle Covid-Massnahmen in den Vorjahren zurückgestellt wurden und das 2022 nicht mehr belasten, wirkt beruhigend. </w:t>
      </w:r>
      <w:r w:rsidR="00FE761C">
        <w:rPr>
          <w:sz w:val="28"/>
          <w:szCs w:val="28"/>
        </w:rPr>
        <w:t xml:space="preserve">Zudem ist bereits eine Steuerfusssenkung um 5% im Ergebnis berücksichtigt. </w:t>
      </w:r>
      <w:r>
        <w:rPr>
          <w:sz w:val="28"/>
          <w:szCs w:val="28"/>
        </w:rPr>
        <w:t xml:space="preserve">Der Selbstfinanzierungsgrad beträgt zwar nur 35%, im Schnitt über die letzten </w:t>
      </w:r>
      <w:r w:rsidR="00FE761C">
        <w:rPr>
          <w:sz w:val="28"/>
          <w:szCs w:val="28"/>
        </w:rPr>
        <w:t xml:space="preserve">8 Jahre aber immer noch 169%, erfüllt also §18 des Finanzhaushaltsgesetzes. Positiv auch die geplanten Nettoinvestitionen von 75.3 Mio., welche die Wirtschaft ankurbeln sollen, wenn auch in erster Linie v.a. die Baubranche. </w:t>
      </w:r>
    </w:p>
    <w:p w14:paraId="77A63E1E" w14:textId="4477BA0F" w:rsidR="00FE761C" w:rsidRPr="00174E1C" w:rsidRDefault="00FE761C" w:rsidP="00174E1C">
      <w:pPr>
        <w:tabs>
          <w:tab w:val="left" w:pos="5103"/>
        </w:tabs>
        <w:rPr>
          <w:sz w:val="28"/>
          <w:szCs w:val="28"/>
        </w:rPr>
      </w:pPr>
      <w:r>
        <w:rPr>
          <w:sz w:val="28"/>
          <w:szCs w:val="28"/>
        </w:rPr>
        <w:t xml:space="preserve">Wie gesagt auf den ersten Blick. Ein näheres Hinschauen lohnt sich aber. </w:t>
      </w:r>
      <w:r w:rsidR="0052778F">
        <w:rPr>
          <w:sz w:val="28"/>
          <w:szCs w:val="28"/>
        </w:rPr>
        <w:t xml:space="preserve">So ist zum Beispiel im Ergebnis auch eine Auflösung von 20 Mio. aus der NFA Schwankungsreserve beinhaltet. </w:t>
      </w:r>
    </w:p>
    <w:p w14:paraId="18AB926C" w14:textId="4741A869" w:rsidR="0052778F" w:rsidRPr="0052778F" w:rsidRDefault="0052778F" w:rsidP="0052778F">
      <w:pPr>
        <w:tabs>
          <w:tab w:val="left" w:pos="5103"/>
        </w:tabs>
        <w:rPr>
          <w:sz w:val="28"/>
          <w:szCs w:val="28"/>
        </w:rPr>
      </w:pPr>
      <w:r>
        <w:rPr>
          <w:sz w:val="28"/>
          <w:szCs w:val="28"/>
        </w:rPr>
        <w:t xml:space="preserve">Der </w:t>
      </w:r>
      <w:r w:rsidRPr="00F612EF">
        <w:rPr>
          <w:b/>
          <w:bCs/>
          <w:sz w:val="28"/>
          <w:szCs w:val="28"/>
        </w:rPr>
        <w:t>Personalaufwand</w:t>
      </w:r>
      <w:r>
        <w:rPr>
          <w:sz w:val="28"/>
          <w:szCs w:val="28"/>
        </w:rPr>
        <w:t xml:space="preserve"> steigt gegenüber dem Budget 2020 um 2.2%. Fast 49 zusätzliche Stellen sind geplant. Auch wenn davon nur 26 sogenannt beeinflussbar sind, ist die Erhöhung </w:t>
      </w:r>
      <w:r w:rsidRPr="002828C7">
        <w:rPr>
          <w:strike/>
          <w:color w:val="FF0000"/>
          <w:sz w:val="28"/>
          <w:szCs w:val="28"/>
        </w:rPr>
        <w:t>doch</w:t>
      </w:r>
      <w:r>
        <w:rPr>
          <w:sz w:val="28"/>
          <w:szCs w:val="28"/>
        </w:rPr>
        <w:t xml:space="preserve"> wiederum hoch. Wie immer mit der Bemerkung versehen, dass das Wachstum dem Wachstum der Bevölkerung entspricht. Auch der Trend befristete Stellen in unbefristete Stellen umzuwandeln hält an. </w:t>
      </w:r>
    </w:p>
    <w:p w14:paraId="76EB703F" w14:textId="77B52730" w:rsidR="00BA5B4A" w:rsidRPr="00F612EF" w:rsidRDefault="0052778F" w:rsidP="0052778F">
      <w:pPr>
        <w:tabs>
          <w:tab w:val="left" w:pos="5103"/>
        </w:tabs>
        <w:rPr>
          <w:i/>
          <w:iCs/>
          <w:sz w:val="28"/>
          <w:szCs w:val="28"/>
        </w:rPr>
      </w:pPr>
      <w:r w:rsidRPr="00F612EF">
        <w:rPr>
          <w:i/>
          <w:iCs/>
          <w:sz w:val="28"/>
          <w:szCs w:val="28"/>
        </w:rPr>
        <w:t>(</w:t>
      </w:r>
      <w:r w:rsidR="00BA5B4A" w:rsidRPr="00F612EF">
        <w:rPr>
          <w:i/>
          <w:iCs/>
          <w:sz w:val="28"/>
          <w:szCs w:val="28"/>
        </w:rPr>
        <w:t xml:space="preserve">SK +2.2, DBU +7.5, DEK +5.5, DJS +19.65 (Polizei 6, Migrationsamt 9 (Bund finanz.)), DBU +12.1, DFS +6.8. </w:t>
      </w:r>
      <w:proofErr w:type="gramStart"/>
      <w:r w:rsidR="00BA5B4A" w:rsidRPr="00F612EF">
        <w:rPr>
          <w:i/>
          <w:iCs/>
          <w:sz w:val="28"/>
          <w:szCs w:val="28"/>
        </w:rPr>
        <w:t>Ausserhalb Stellenplan</w:t>
      </w:r>
      <w:proofErr w:type="gramEnd"/>
      <w:r w:rsidR="00BA5B4A" w:rsidRPr="00F612EF">
        <w:rPr>
          <w:i/>
          <w:iCs/>
          <w:sz w:val="28"/>
          <w:szCs w:val="28"/>
        </w:rPr>
        <w:t xml:space="preserve"> aber doch bemerkenswert SVZ +12 Stellen (vom Bund vorgegeben und finanziert)</w:t>
      </w:r>
    </w:p>
    <w:p w14:paraId="4B40FCE2" w14:textId="427556E9" w:rsidR="00844F82" w:rsidRDefault="00844F82" w:rsidP="00844F82">
      <w:pPr>
        <w:tabs>
          <w:tab w:val="left" w:pos="5103"/>
        </w:tabs>
        <w:rPr>
          <w:sz w:val="28"/>
          <w:szCs w:val="28"/>
        </w:rPr>
      </w:pPr>
      <w:r>
        <w:rPr>
          <w:sz w:val="28"/>
          <w:szCs w:val="28"/>
        </w:rPr>
        <w:t>Wir wehren uns nicht gegen die g</w:t>
      </w:r>
      <w:r w:rsidR="00ED56B2" w:rsidRPr="0052778F">
        <w:rPr>
          <w:sz w:val="28"/>
          <w:szCs w:val="28"/>
        </w:rPr>
        <w:t xml:space="preserve">enerelle und individuelle Lohnerhöhung von </w:t>
      </w:r>
      <w:r w:rsidR="0043744C" w:rsidRPr="0052778F">
        <w:rPr>
          <w:sz w:val="28"/>
          <w:szCs w:val="28"/>
        </w:rPr>
        <w:t xml:space="preserve">je </w:t>
      </w:r>
      <w:r w:rsidR="00ED56B2" w:rsidRPr="0052778F">
        <w:rPr>
          <w:sz w:val="28"/>
          <w:szCs w:val="28"/>
        </w:rPr>
        <w:t>0.4%</w:t>
      </w:r>
      <w:r>
        <w:rPr>
          <w:sz w:val="28"/>
          <w:szCs w:val="28"/>
        </w:rPr>
        <w:t xml:space="preserve">, </w:t>
      </w:r>
      <w:r w:rsidRPr="002828C7">
        <w:rPr>
          <w:strike/>
          <w:color w:val="FF0000"/>
          <w:sz w:val="28"/>
          <w:szCs w:val="28"/>
        </w:rPr>
        <w:t xml:space="preserve">welche auch </w:t>
      </w:r>
      <w:r w:rsidR="00ED56B2" w:rsidRPr="002828C7">
        <w:rPr>
          <w:strike/>
          <w:color w:val="FF0000"/>
          <w:sz w:val="28"/>
          <w:szCs w:val="28"/>
        </w:rPr>
        <w:t xml:space="preserve">als Anerkennung für </w:t>
      </w:r>
      <w:r w:rsidRPr="002828C7">
        <w:rPr>
          <w:strike/>
          <w:color w:val="FF0000"/>
          <w:sz w:val="28"/>
          <w:szCs w:val="28"/>
        </w:rPr>
        <w:t xml:space="preserve">die ausserordentlich </w:t>
      </w:r>
      <w:r w:rsidR="00ED56B2" w:rsidRPr="002828C7">
        <w:rPr>
          <w:strike/>
          <w:color w:val="FF0000"/>
          <w:sz w:val="28"/>
          <w:szCs w:val="28"/>
        </w:rPr>
        <w:t>erbrachte</w:t>
      </w:r>
      <w:r w:rsidRPr="002828C7">
        <w:rPr>
          <w:strike/>
          <w:color w:val="FF0000"/>
          <w:sz w:val="28"/>
          <w:szCs w:val="28"/>
        </w:rPr>
        <w:t>n</w:t>
      </w:r>
      <w:r w:rsidR="00ED56B2" w:rsidRPr="002828C7">
        <w:rPr>
          <w:strike/>
          <w:color w:val="FF0000"/>
          <w:sz w:val="28"/>
          <w:szCs w:val="28"/>
        </w:rPr>
        <w:t xml:space="preserve"> Leistungen</w:t>
      </w:r>
      <w:r w:rsidRPr="002828C7">
        <w:rPr>
          <w:strike/>
          <w:color w:val="FF0000"/>
          <w:sz w:val="28"/>
          <w:szCs w:val="28"/>
        </w:rPr>
        <w:t xml:space="preserve"> während der Corona-Krise bezeichnet wird.</w:t>
      </w:r>
      <w:r>
        <w:rPr>
          <w:sz w:val="28"/>
          <w:szCs w:val="28"/>
        </w:rPr>
        <w:t xml:space="preserve"> Begründet wird die Erhöhung auch damit, dass letztes Jahr eine Nullrunde für das Personal gemacht wurde. Auch wir anerkennen die Leistung des Personals und bedanken uns dafür. Wir möchten aber trotzdem daran erinnern, wie es sehr vielen Arbeitnehmern im Thurgau während </w:t>
      </w:r>
      <w:r>
        <w:rPr>
          <w:sz w:val="28"/>
          <w:szCs w:val="28"/>
        </w:rPr>
        <w:lastRenderedPageBreak/>
        <w:t xml:space="preserve">des letzten Jahres und während des laufenden Jahres gegangen ist. Diese Arbeitnehmer waren teilweise mit erheblichen Lohnkürzen aufgrund der Kurzarbeit konfrontiert. Eine Nullrunde wäre also geradezu eine freudige Nachricht gewesen. Wir bitten Sie, dies zu berücksichtigen und den Angestellten der Verwaltung die unter dem Strich privilegierte Position gelegentlich in Erinnerung zu rufen. </w:t>
      </w:r>
      <w:r w:rsidR="002828C7">
        <w:rPr>
          <w:color w:val="FF0000"/>
          <w:sz w:val="28"/>
          <w:szCs w:val="28"/>
        </w:rPr>
        <w:t xml:space="preserve">Eine Lohnerhöhung ist kein Recht, das jedes Jahr eintreffen muss. Es ist eine Anerkennung für bessere Leistung oder ein Teuerungsausgleich. </w:t>
      </w:r>
      <w:r>
        <w:rPr>
          <w:sz w:val="28"/>
          <w:szCs w:val="28"/>
        </w:rPr>
        <w:t xml:space="preserve"> </w:t>
      </w:r>
    </w:p>
    <w:p w14:paraId="1807D041" w14:textId="4BCF9436" w:rsidR="00453784" w:rsidRPr="00F612EF" w:rsidRDefault="00844F82" w:rsidP="00F612EF">
      <w:pPr>
        <w:tabs>
          <w:tab w:val="left" w:pos="5103"/>
        </w:tabs>
        <w:rPr>
          <w:i/>
          <w:iCs/>
          <w:sz w:val="28"/>
          <w:szCs w:val="28"/>
        </w:rPr>
      </w:pPr>
      <w:r w:rsidRPr="00F612EF">
        <w:rPr>
          <w:i/>
          <w:iCs/>
          <w:sz w:val="28"/>
          <w:szCs w:val="28"/>
        </w:rPr>
        <w:t>(</w:t>
      </w:r>
      <w:r w:rsidR="0043744C" w:rsidRPr="00F612EF">
        <w:rPr>
          <w:i/>
          <w:iCs/>
          <w:sz w:val="28"/>
          <w:szCs w:val="28"/>
        </w:rPr>
        <w:t>Zusätzlich zu den 0.8% noch 500’ für strukturelle Lohnanpassungen (via Fluktuationsgewinn finanziert) und 500’ für Leistungsprämien plus 50'000 für Ideenmanag</w:t>
      </w:r>
      <w:r w:rsidR="003A0BCD" w:rsidRPr="00F612EF">
        <w:rPr>
          <w:i/>
          <w:iCs/>
          <w:sz w:val="28"/>
          <w:szCs w:val="28"/>
        </w:rPr>
        <w:t>e</w:t>
      </w:r>
      <w:r w:rsidR="0043744C" w:rsidRPr="00F612EF">
        <w:rPr>
          <w:i/>
          <w:iCs/>
          <w:sz w:val="28"/>
          <w:szCs w:val="28"/>
        </w:rPr>
        <w:t>ment</w:t>
      </w:r>
      <w:r w:rsidRPr="00F612EF">
        <w:rPr>
          <w:i/>
          <w:iCs/>
          <w:sz w:val="28"/>
          <w:szCs w:val="28"/>
        </w:rPr>
        <w:t>)</w:t>
      </w:r>
      <w:r w:rsidR="00F612EF" w:rsidRPr="00F612EF">
        <w:rPr>
          <w:i/>
          <w:iCs/>
          <w:sz w:val="28"/>
          <w:szCs w:val="28"/>
        </w:rPr>
        <w:t>. (</w:t>
      </w:r>
      <w:r w:rsidR="00453784" w:rsidRPr="00F612EF">
        <w:rPr>
          <w:i/>
          <w:iCs/>
          <w:sz w:val="28"/>
          <w:szCs w:val="28"/>
        </w:rPr>
        <w:t xml:space="preserve">Neue Planstellen wegen Umsetzungsvorgaben: Bsp. Öffentlichkeitsbeauftragter +60% Stelle </w:t>
      </w:r>
      <w:r w:rsidR="00453784" w:rsidRPr="00F612EF">
        <w:rPr>
          <w:i/>
          <w:iCs/>
        </w:rPr>
        <w:sym w:font="Wingdings" w:char="F0E0"/>
      </w:r>
      <w:r w:rsidR="00453784" w:rsidRPr="00F612EF">
        <w:rPr>
          <w:i/>
          <w:iCs/>
          <w:sz w:val="28"/>
          <w:szCs w:val="28"/>
        </w:rPr>
        <w:t xml:space="preserve"> könnte auch befristet sein, man weiss noch nicht, was auf die Abteilung zukommt</w:t>
      </w:r>
      <w:r w:rsidR="00F612EF" w:rsidRPr="00F612EF">
        <w:rPr>
          <w:i/>
          <w:iCs/>
          <w:sz w:val="28"/>
          <w:szCs w:val="28"/>
        </w:rPr>
        <w:t>)</w:t>
      </w:r>
    </w:p>
    <w:p w14:paraId="7AB1588C" w14:textId="156BD8F9" w:rsidR="003A0BCD" w:rsidRPr="00F612EF" w:rsidRDefault="00F612EF" w:rsidP="00F612EF">
      <w:pPr>
        <w:tabs>
          <w:tab w:val="left" w:pos="5103"/>
        </w:tabs>
        <w:rPr>
          <w:sz w:val="28"/>
          <w:szCs w:val="28"/>
        </w:rPr>
      </w:pPr>
      <w:r>
        <w:rPr>
          <w:sz w:val="28"/>
          <w:szCs w:val="28"/>
        </w:rPr>
        <w:t xml:space="preserve">Was auffällt ist, dass die Grafik die </w:t>
      </w:r>
      <w:r w:rsidR="003A0BCD" w:rsidRPr="00F612EF">
        <w:rPr>
          <w:sz w:val="28"/>
          <w:szCs w:val="28"/>
        </w:rPr>
        <w:t>Anzahl Stellen pro 1'000 Einwohner nicht mehr gezeigt</w:t>
      </w:r>
      <w:r>
        <w:rPr>
          <w:sz w:val="28"/>
          <w:szCs w:val="28"/>
        </w:rPr>
        <w:t xml:space="preserve"> wird. Wenn man sie </w:t>
      </w:r>
      <w:r w:rsidR="003A0BCD" w:rsidRPr="00F612EF">
        <w:rPr>
          <w:sz w:val="28"/>
          <w:szCs w:val="28"/>
        </w:rPr>
        <w:t xml:space="preserve">selbst berechnet genau 10.06 </w:t>
      </w:r>
      <w:r w:rsidR="003A0BCD" w:rsidRPr="003A0BCD">
        <w:sym w:font="Wingdings" w:char="F0E0"/>
      </w:r>
      <w:r w:rsidR="003A0BCD" w:rsidRPr="00F612EF">
        <w:rPr>
          <w:sz w:val="28"/>
          <w:szCs w:val="28"/>
        </w:rPr>
        <w:t xml:space="preserve"> </w:t>
      </w:r>
      <w:r w:rsidRPr="00EA74C8">
        <w:rPr>
          <w:b/>
          <w:bCs/>
          <w:sz w:val="28"/>
          <w:szCs w:val="28"/>
        </w:rPr>
        <w:t xml:space="preserve">Die </w:t>
      </w:r>
      <w:r w:rsidR="003A0BCD" w:rsidRPr="00EA74C8">
        <w:rPr>
          <w:b/>
          <w:bCs/>
          <w:sz w:val="28"/>
          <w:szCs w:val="28"/>
        </w:rPr>
        <w:t>glp fordert</w:t>
      </w:r>
      <w:r w:rsidRPr="00EA74C8">
        <w:rPr>
          <w:b/>
          <w:bCs/>
          <w:sz w:val="28"/>
          <w:szCs w:val="28"/>
        </w:rPr>
        <w:t xml:space="preserve">, dass diese Zahl mittelfristig auf </w:t>
      </w:r>
      <w:r w:rsidR="003A0BCD" w:rsidRPr="00EA74C8">
        <w:rPr>
          <w:b/>
          <w:bCs/>
          <w:sz w:val="28"/>
          <w:szCs w:val="28"/>
        </w:rPr>
        <w:t>9.0</w:t>
      </w:r>
      <w:r w:rsidRPr="00EA74C8">
        <w:rPr>
          <w:b/>
          <w:bCs/>
          <w:sz w:val="28"/>
          <w:szCs w:val="28"/>
        </w:rPr>
        <w:t xml:space="preserve"> gesenkt wird.</w:t>
      </w:r>
      <w:r>
        <w:rPr>
          <w:sz w:val="28"/>
          <w:szCs w:val="28"/>
        </w:rPr>
        <w:t xml:space="preserve"> </w:t>
      </w:r>
    </w:p>
    <w:p w14:paraId="012BCEEA" w14:textId="7FE58E59" w:rsidR="00F612EF" w:rsidRDefault="00F612EF" w:rsidP="00F612EF">
      <w:pPr>
        <w:tabs>
          <w:tab w:val="left" w:pos="5103"/>
        </w:tabs>
        <w:rPr>
          <w:sz w:val="28"/>
          <w:szCs w:val="28"/>
        </w:rPr>
      </w:pPr>
      <w:r>
        <w:rPr>
          <w:sz w:val="28"/>
          <w:szCs w:val="28"/>
        </w:rPr>
        <w:t xml:space="preserve">Der </w:t>
      </w:r>
      <w:r w:rsidRPr="00271FDC">
        <w:rPr>
          <w:b/>
          <w:bCs/>
          <w:sz w:val="28"/>
          <w:szCs w:val="28"/>
        </w:rPr>
        <w:t>Sach- und übrige Betriebsaufwand</w:t>
      </w:r>
      <w:r>
        <w:rPr>
          <w:sz w:val="28"/>
          <w:szCs w:val="28"/>
        </w:rPr>
        <w:t xml:space="preserve"> steigt um 0.5% - auf den ersten Blick. Dies als moderaten Anstieg zu bezeichnen, ist aber gelinde gesagt, eine etwas verwegene Aussage. Den auf den zweiten Blick aber eigentlich um 10 Mio. also plus 1.8%. Denn 9 Mio. sind neu im Transferaufwand verbucht, müssen also herausgerechnet werden. </w:t>
      </w:r>
      <w:r w:rsidR="00271FDC">
        <w:rPr>
          <w:sz w:val="28"/>
          <w:szCs w:val="28"/>
        </w:rPr>
        <w:t xml:space="preserve">8 Mio. sind auf anstehende Informatikkosten zurückzuführen. </w:t>
      </w:r>
    </w:p>
    <w:p w14:paraId="2492D7B5" w14:textId="7DA94955" w:rsidR="00271FDC" w:rsidRPr="00F612EF" w:rsidRDefault="00271FDC" w:rsidP="00F612EF">
      <w:pPr>
        <w:tabs>
          <w:tab w:val="left" w:pos="5103"/>
        </w:tabs>
        <w:rPr>
          <w:sz w:val="28"/>
          <w:szCs w:val="28"/>
        </w:rPr>
      </w:pPr>
      <w:r>
        <w:rPr>
          <w:sz w:val="28"/>
          <w:szCs w:val="28"/>
        </w:rPr>
        <w:t xml:space="preserve">Schaut man sich in diesem Zusammenhang die Staatsquote an, beträgt sie im 2022 10.39%, mit leichter Tendenz gegen 10.0 bis 2025. </w:t>
      </w:r>
      <w:r w:rsidRPr="00EA74C8">
        <w:rPr>
          <w:b/>
          <w:bCs/>
          <w:sz w:val="28"/>
          <w:szCs w:val="28"/>
        </w:rPr>
        <w:t xml:space="preserve">Die glp fordert mittelfristig eine Staatsquote </w:t>
      </w:r>
      <w:r w:rsidR="002828C7" w:rsidRPr="002828C7">
        <w:rPr>
          <w:bCs/>
          <w:color w:val="FF0000"/>
          <w:sz w:val="28"/>
          <w:szCs w:val="28"/>
        </w:rPr>
        <w:t xml:space="preserve">(mit einer 9, idealerweise </w:t>
      </w:r>
      <w:proofErr w:type="gramStart"/>
      <w:r w:rsidR="002828C7" w:rsidRPr="002828C7">
        <w:rPr>
          <w:bCs/>
          <w:color w:val="FF0000"/>
          <w:sz w:val="28"/>
          <w:szCs w:val="28"/>
        </w:rPr>
        <w:t>einem Null</w:t>
      </w:r>
      <w:proofErr w:type="gramEnd"/>
      <w:r w:rsidR="002828C7" w:rsidRPr="002828C7">
        <w:rPr>
          <w:bCs/>
          <w:color w:val="FF0000"/>
          <w:sz w:val="28"/>
          <w:szCs w:val="28"/>
        </w:rPr>
        <w:t xml:space="preserve"> hinter dem Komma)</w:t>
      </w:r>
      <w:r w:rsidR="002828C7">
        <w:rPr>
          <w:b/>
          <w:bCs/>
          <w:color w:val="FF0000"/>
          <w:sz w:val="28"/>
          <w:szCs w:val="28"/>
        </w:rPr>
        <w:t xml:space="preserve"> </w:t>
      </w:r>
      <w:r w:rsidRPr="00EA74C8">
        <w:rPr>
          <w:b/>
          <w:bCs/>
          <w:sz w:val="28"/>
          <w:szCs w:val="28"/>
        </w:rPr>
        <w:t>von 9.0</w:t>
      </w:r>
      <w:r>
        <w:rPr>
          <w:sz w:val="28"/>
          <w:szCs w:val="28"/>
        </w:rPr>
        <w:t xml:space="preserve">. </w:t>
      </w:r>
    </w:p>
    <w:p w14:paraId="34A93D67" w14:textId="146C9AA3" w:rsidR="00271FDC" w:rsidRDefault="00271FDC" w:rsidP="00271FDC">
      <w:pPr>
        <w:tabs>
          <w:tab w:val="left" w:pos="5103"/>
        </w:tabs>
        <w:rPr>
          <w:sz w:val="28"/>
          <w:szCs w:val="28"/>
        </w:rPr>
      </w:pPr>
      <w:r w:rsidRPr="00271FDC">
        <w:rPr>
          <w:sz w:val="28"/>
          <w:szCs w:val="28"/>
        </w:rPr>
        <w:t xml:space="preserve">Der Regierungsrat budgetiert mit einer </w:t>
      </w:r>
      <w:r w:rsidRPr="00EA74C8">
        <w:rPr>
          <w:b/>
          <w:bCs/>
          <w:sz w:val="28"/>
          <w:szCs w:val="28"/>
        </w:rPr>
        <w:t>Steuerfussreduktion</w:t>
      </w:r>
      <w:r w:rsidRPr="00271FDC">
        <w:rPr>
          <w:sz w:val="28"/>
          <w:szCs w:val="28"/>
        </w:rPr>
        <w:t xml:space="preserve"> um 5%. Die glp steht dem positiv gegenüber. Aber wir glauben, hier geht noch mehr. </w:t>
      </w:r>
    </w:p>
    <w:p w14:paraId="257514A4" w14:textId="0B4FE9C3" w:rsidR="00271FDC" w:rsidRPr="00271FDC" w:rsidRDefault="00271FDC" w:rsidP="00271FDC">
      <w:pPr>
        <w:tabs>
          <w:tab w:val="left" w:pos="5103"/>
        </w:tabs>
        <w:rPr>
          <w:sz w:val="28"/>
          <w:szCs w:val="28"/>
        </w:rPr>
      </w:pPr>
      <w:r>
        <w:rPr>
          <w:sz w:val="28"/>
          <w:szCs w:val="28"/>
        </w:rPr>
        <w:t xml:space="preserve">Schauen wir uns die finanzielle Gesamtsituation des Thurgaus an: </w:t>
      </w:r>
    </w:p>
    <w:p w14:paraId="41C3CC35" w14:textId="1A423FDD" w:rsidR="00271FDC" w:rsidRPr="00271FDC" w:rsidRDefault="00271FDC" w:rsidP="00315A74">
      <w:pPr>
        <w:pStyle w:val="Listenabsatz"/>
        <w:numPr>
          <w:ilvl w:val="0"/>
          <w:numId w:val="17"/>
        </w:numPr>
        <w:tabs>
          <w:tab w:val="left" w:pos="5103"/>
        </w:tabs>
        <w:rPr>
          <w:sz w:val="28"/>
          <w:szCs w:val="28"/>
        </w:rPr>
      </w:pPr>
      <w:r w:rsidRPr="00271FDC">
        <w:rPr>
          <w:sz w:val="28"/>
          <w:szCs w:val="28"/>
        </w:rPr>
        <w:t>Selbst ohne die TKB-Millionen haben wir ein Eigenkapital von 500 Mio. in den Büchern</w:t>
      </w:r>
      <w:r w:rsidR="00EA74C8">
        <w:rPr>
          <w:sz w:val="28"/>
          <w:szCs w:val="28"/>
        </w:rPr>
        <w:t xml:space="preserve">, darin enthalten 150 Mio. Schwankungsreserven für SNB-Ausschüttungen. </w:t>
      </w:r>
    </w:p>
    <w:p w14:paraId="6A4EF663" w14:textId="1396E33C" w:rsidR="001E1477" w:rsidRPr="00271FDC" w:rsidRDefault="00271FDC" w:rsidP="00242458">
      <w:pPr>
        <w:pStyle w:val="Listenabsatz"/>
        <w:numPr>
          <w:ilvl w:val="0"/>
          <w:numId w:val="17"/>
        </w:numPr>
        <w:tabs>
          <w:tab w:val="left" w:pos="5103"/>
        </w:tabs>
        <w:rPr>
          <w:sz w:val="28"/>
          <w:szCs w:val="28"/>
        </w:rPr>
      </w:pPr>
      <w:r w:rsidRPr="00271FDC">
        <w:rPr>
          <w:sz w:val="28"/>
          <w:szCs w:val="28"/>
        </w:rPr>
        <w:t>Für 202</w:t>
      </w:r>
      <w:r w:rsidR="00EA74C8">
        <w:rPr>
          <w:sz w:val="28"/>
          <w:szCs w:val="28"/>
        </w:rPr>
        <w:t>1</w:t>
      </w:r>
      <w:r w:rsidRPr="00271FDC">
        <w:rPr>
          <w:sz w:val="28"/>
          <w:szCs w:val="28"/>
        </w:rPr>
        <w:t xml:space="preserve"> ist ein Minus von 50 Mio. budgetiert. Allerdings kann man davon ausgehen, dass das Geschäftsjahr 2021 wesentlich besser ausfällt. Denn </w:t>
      </w:r>
      <w:r>
        <w:rPr>
          <w:sz w:val="28"/>
          <w:szCs w:val="28"/>
        </w:rPr>
        <w:t>die S</w:t>
      </w:r>
      <w:r w:rsidR="001E1477" w:rsidRPr="00271FDC">
        <w:rPr>
          <w:sz w:val="28"/>
          <w:szCs w:val="28"/>
        </w:rPr>
        <w:t>teuereinnahmen 2021</w:t>
      </w:r>
      <w:r>
        <w:rPr>
          <w:sz w:val="28"/>
          <w:szCs w:val="28"/>
        </w:rPr>
        <w:t xml:space="preserve"> sind viel</w:t>
      </w:r>
      <w:r w:rsidR="001E1477" w:rsidRPr="00271FDC">
        <w:rPr>
          <w:sz w:val="28"/>
          <w:szCs w:val="28"/>
        </w:rPr>
        <w:t xml:space="preserve"> zu pessimistisch budgetiert</w:t>
      </w:r>
      <w:r w:rsidR="00EA74C8">
        <w:rPr>
          <w:sz w:val="28"/>
          <w:szCs w:val="28"/>
        </w:rPr>
        <w:t xml:space="preserve">. So zu lesen im Budget 2022. Wenn die </w:t>
      </w:r>
      <w:r w:rsidR="001E1477" w:rsidRPr="00271FDC">
        <w:rPr>
          <w:sz w:val="28"/>
          <w:szCs w:val="28"/>
        </w:rPr>
        <w:t xml:space="preserve">Steuereinnahmen 2021 auf </w:t>
      </w:r>
      <w:r w:rsidR="00EA74C8">
        <w:rPr>
          <w:sz w:val="28"/>
          <w:szCs w:val="28"/>
        </w:rPr>
        <w:t xml:space="preserve">dem </w:t>
      </w:r>
      <w:r w:rsidR="001E1477" w:rsidRPr="00271FDC">
        <w:rPr>
          <w:sz w:val="28"/>
          <w:szCs w:val="28"/>
        </w:rPr>
        <w:t xml:space="preserve">Niveau 2020 bleiben und </w:t>
      </w:r>
      <w:r w:rsidR="00EA74C8">
        <w:rPr>
          <w:sz w:val="28"/>
          <w:szCs w:val="28"/>
        </w:rPr>
        <w:t xml:space="preserve">die </w:t>
      </w:r>
      <w:r w:rsidR="001E1477" w:rsidRPr="00271FDC">
        <w:rPr>
          <w:sz w:val="28"/>
          <w:szCs w:val="28"/>
        </w:rPr>
        <w:t xml:space="preserve">6-fache </w:t>
      </w:r>
      <w:r w:rsidR="001E1477" w:rsidRPr="00271FDC">
        <w:rPr>
          <w:sz w:val="28"/>
          <w:szCs w:val="28"/>
        </w:rPr>
        <w:lastRenderedPageBreak/>
        <w:t xml:space="preserve">SNB-Ausschüttung </w:t>
      </w:r>
      <w:r w:rsidR="00EA74C8">
        <w:rPr>
          <w:sz w:val="28"/>
          <w:szCs w:val="28"/>
        </w:rPr>
        <w:t xml:space="preserve">statt der budgetierten 4-fachen Ausschüttung erfolgt, wie in den Budgetrichtlinien erwähnt </w:t>
      </w:r>
      <w:r w:rsidR="001E1477" w:rsidRPr="00271FDC">
        <w:rPr>
          <w:sz w:val="28"/>
          <w:szCs w:val="28"/>
        </w:rPr>
        <w:t>(plus 40 Mio. zu Budget), da</w:t>
      </w:r>
      <w:r w:rsidR="00EA74C8">
        <w:rPr>
          <w:sz w:val="28"/>
          <w:szCs w:val="28"/>
        </w:rPr>
        <w:t>nn</w:t>
      </w:r>
      <w:r w:rsidR="001E1477" w:rsidRPr="00271FDC">
        <w:rPr>
          <w:sz w:val="28"/>
          <w:szCs w:val="28"/>
        </w:rPr>
        <w:t xml:space="preserve"> wird </w:t>
      </w:r>
      <w:r w:rsidR="00EA74C8">
        <w:rPr>
          <w:sz w:val="28"/>
          <w:szCs w:val="28"/>
        </w:rPr>
        <w:t xml:space="preserve">es für </w:t>
      </w:r>
      <w:r w:rsidR="001E1477" w:rsidRPr="00271FDC">
        <w:rPr>
          <w:sz w:val="28"/>
          <w:szCs w:val="28"/>
        </w:rPr>
        <w:t xml:space="preserve">2021 sogar </w:t>
      </w:r>
      <w:r w:rsidR="00EA74C8">
        <w:rPr>
          <w:sz w:val="28"/>
          <w:szCs w:val="28"/>
        </w:rPr>
        <w:t xml:space="preserve">ein </w:t>
      </w:r>
      <w:r w:rsidR="001E1477" w:rsidRPr="00271FDC">
        <w:rPr>
          <w:sz w:val="28"/>
          <w:szCs w:val="28"/>
        </w:rPr>
        <w:t xml:space="preserve">positives Ergebnis geben. </w:t>
      </w:r>
    </w:p>
    <w:p w14:paraId="37706AE3" w14:textId="5DC56E33" w:rsidR="00AF2DA9" w:rsidRDefault="00EA74C8" w:rsidP="00D15C82">
      <w:pPr>
        <w:pStyle w:val="Listenabsatz"/>
        <w:numPr>
          <w:ilvl w:val="0"/>
          <w:numId w:val="17"/>
        </w:numPr>
        <w:tabs>
          <w:tab w:val="left" w:pos="5103"/>
        </w:tabs>
        <w:rPr>
          <w:sz w:val="28"/>
          <w:szCs w:val="28"/>
        </w:rPr>
      </w:pPr>
      <w:r w:rsidRPr="00EA74C8">
        <w:rPr>
          <w:sz w:val="28"/>
          <w:szCs w:val="28"/>
        </w:rPr>
        <w:t xml:space="preserve">Das 0-er Budget für 2022 rechnet mit einer 4-fachen SNB-Ausschüttung. Realistisch ist aber eine 6-fache Ausschüttung. Dies würden wiederum 129.6 Mio. bedeuten. </w:t>
      </w:r>
      <w:r w:rsidR="00AF2DA9" w:rsidRPr="00EA74C8">
        <w:rPr>
          <w:sz w:val="28"/>
          <w:szCs w:val="28"/>
        </w:rPr>
        <w:t>1 Steuerprozent</w:t>
      </w:r>
      <w:r>
        <w:rPr>
          <w:sz w:val="28"/>
          <w:szCs w:val="28"/>
        </w:rPr>
        <w:t xml:space="preserve"> beträgt rund</w:t>
      </w:r>
      <w:r w:rsidR="00AF2DA9" w:rsidRPr="00EA74C8">
        <w:rPr>
          <w:sz w:val="28"/>
          <w:szCs w:val="28"/>
        </w:rPr>
        <w:t xml:space="preserve"> 8 Mio.</w:t>
      </w:r>
      <w:r>
        <w:rPr>
          <w:sz w:val="28"/>
          <w:szCs w:val="28"/>
        </w:rPr>
        <w:t xml:space="preserve">, d.h. mit 129.6 Mio. kann man 16 Steuerprozente finanzieren. Vor diesem Hintergrund ist die 5%ige Steuerfusssenkung der Regierung zu defensiv. Die Bevölkerung und die Wirtschaft im Thurgau sollen von diesem SNB-Manna profitieren. Die </w:t>
      </w:r>
      <w:r w:rsidRPr="00F67628">
        <w:rPr>
          <w:sz w:val="28"/>
          <w:szCs w:val="28"/>
        </w:rPr>
        <w:t xml:space="preserve">glp </w:t>
      </w:r>
      <w:r>
        <w:rPr>
          <w:sz w:val="28"/>
          <w:szCs w:val="28"/>
        </w:rPr>
        <w:t xml:space="preserve">will damit </w:t>
      </w:r>
      <w:r w:rsidRPr="00F67628">
        <w:rPr>
          <w:sz w:val="28"/>
          <w:szCs w:val="28"/>
        </w:rPr>
        <w:t xml:space="preserve">Arbeitsplatzsicherheit, </w:t>
      </w:r>
      <w:r>
        <w:rPr>
          <w:sz w:val="28"/>
          <w:szCs w:val="28"/>
        </w:rPr>
        <w:t xml:space="preserve">die </w:t>
      </w:r>
      <w:r w:rsidRPr="00F67628">
        <w:rPr>
          <w:sz w:val="28"/>
          <w:szCs w:val="28"/>
        </w:rPr>
        <w:t>Innovationskraft</w:t>
      </w:r>
      <w:r>
        <w:rPr>
          <w:sz w:val="28"/>
          <w:szCs w:val="28"/>
        </w:rPr>
        <w:t xml:space="preserve"> fördern</w:t>
      </w:r>
      <w:r w:rsidR="002828C7">
        <w:rPr>
          <w:sz w:val="28"/>
          <w:szCs w:val="28"/>
        </w:rPr>
        <w:t xml:space="preserve"> </w:t>
      </w:r>
      <w:r w:rsidR="002828C7">
        <w:rPr>
          <w:color w:val="FF0000"/>
          <w:sz w:val="28"/>
          <w:szCs w:val="28"/>
        </w:rPr>
        <w:t xml:space="preserve">und auch die Staatsquote tief halten. </w:t>
      </w:r>
      <w:bookmarkStart w:id="0" w:name="_GoBack"/>
      <w:bookmarkEnd w:id="0"/>
      <w:r w:rsidR="002828C7">
        <w:rPr>
          <w:sz w:val="28"/>
          <w:szCs w:val="28"/>
        </w:rPr>
        <w:t xml:space="preserve"> </w:t>
      </w:r>
    </w:p>
    <w:p w14:paraId="56EAB28C" w14:textId="263DFA28" w:rsidR="00EA74C8" w:rsidRPr="00EA74C8" w:rsidRDefault="00EA74C8" w:rsidP="00EA74C8">
      <w:pPr>
        <w:tabs>
          <w:tab w:val="left" w:pos="5103"/>
        </w:tabs>
        <w:rPr>
          <w:sz w:val="28"/>
          <w:szCs w:val="28"/>
        </w:rPr>
      </w:pPr>
      <w:r w:rsidRPr="00EA74C8">
        <w:rPr>
          <w:b/>
          <w:bCs/>
          <w:sz w:val="28"/>
          <w:szCs w:val="28"/>
        </w:rPr>
        <w:t>Deshalb fordert die glp eine Steuerfusssenkung von 9%.</w:t>
      </w:r>
      <w:r>
        <w:rPr>
          <w:sz w:val="28"/>
          <w:szCs w:val="28"/>
        </w:rPr>
        <w:t xml:space="preserve"> Sollte sich die Situation mit den SNB-Ausschüttungen in den nächsten Jahren</w:t>
      </w:r>
      <w:r w:rsidR="002828C7">
        <w:rPr>
          <w:sz w:val="28"/>
          <w:szCs w:val="28"/>
        </w:rPr>
        <w:t xml:space="preserve"> </w:t>
      </w:r>
      <w:r w:rsidR="002828C7">
        <w:rPr>
          <w:color w:val="FF0000"/>
          <w:sz w:val="28"/>
          <w:szCs w:val="28"/>
        </w:rPr>
        <w:t>ändern und</w:t>
      </w:r>
      <w:r>
        <w:rPr>
          <w:sz w:val="28"/>
          <w:szCs w:val="28"/>
        </w:rPr>
        <w:t xml:space="preserve"> in die gegenteilige Richtung entwickeln, kann man den Steuerfuss wieder nach oben korrigieren.</w:t>
      </w:r>
      <w:r w:rsidR="002828C7">
        <w:rPr>
          <w:sz w:val="28"/>
          <w:szCs w:val="28"/>
        </w:rPr>
        <w:t xml:space="preserve"> </w:t>
      </w:r>
      <w:r>
        <w:rPr>
          <w:sz w:val="28"/>
          <w:szCs w:val="28"/>
        </w:rPr>
        <w:t xml:space="preserve"> </w:t>
      </w:r>
    </w:p>
    <w:p w14:paraId="64DC91ED" w14:textId="77777777" w:rsidR="00EA74C8" w:rsidRDefault="00EA74C8" w:rsidP="00EA74C8">
      <w:pPr>
        <w:tabs>
          <w:tab w:val="left" w:pos="5103"/>
        </w:tabs>
        <w:rPr>
          <w:b/>
          <w:bCs/>
          <w:sz w:val="28"/>
          <w:szCs w:val="28"/>
        </w:rPr>
      </w:pPr>
      <w:r>
        <w:rPr>
          <w:sz w:val="28"/>
          <w:szCs w:val="28"/>
        </w:rPr>
        <w:t xml:space="preserve">Also </w:t>
      </w:r>
      <w:r w:rsidR="00F97A52" w:rsidRPr="00F97A52">
        <w:rPr>
          <w:b/>
          <w:bCs/>
          <w:sz w:val="28"/>
          <w:szCs w:val="28"/>
        </w:rPr>
        <w:t xml:space="preserve">3x9: </w:t>
      </w:r>
    </w:p>
    <w:p w14:paraId="62FCF730" w14:textId="2961F01E" w:rsidR="00EA74C8" w:rsidRPr="00EA74C8" w:rsidRDefault="00EA74C8" w:rsidP="00EA74C8">
      <w:pPr>
        <w:pStyle w:val="Listenabsatz"/>
        <w:numPr>
          <w:ilvl w:val="0"/>
          <w:numId w:val="18"/>
        </w:numPr>
        <w:tabs>
          <w:tab w:val="left" w:pos="5103"/>
        </w:tabs>
        <w:rPr>
          <w:b/>
          <w:bCs/>
          <w:sz w:val="28"/>
          <w:szCs w:val="28"/>
        </w:rPr>
      </w:pPr>
      <w:r w:rsidRPr="00EA74C8">
        <w:rPr>
          <w:b/>
          <w:bCs/>
          <w:sz w:val="28"/>
          <w:szCs w:val="28"/>
        </w:rPr>
        <w:t xml:space="preserve">9 Stellen pro 1000 Einwohner </w:t>
      </w:r>
    </w:p>
    <w:p w14:paraId="0526B5CC" w14:textId="77777777" w:rsidR="00EA74C8" w:rsidRPr="00EA74C8" w:rsidRDefault="00F97A52" w:rsidP="00EA74C8">
      <w:pPr>
        <w:pStyle w:val="Listenabsatz"/>
        <w:numPr>
          <w:ilvl w:val="0"/>
          <w:numId w:val="18"/>
        </w:numPr>
        <w:tabs>
          <w:tab w:val="left" w:pos="5103"/>
        </w:tabs>
        <w:rPr>
          <w:b/>
          <w:bCs/>
          <w:sz w:val="28"/>
          <w:szCs w:val="28"/>
        </w:rPr>
      </w:pPr>
      <w:r w:rsidRPr="00EA74C8">
        <w:rPr>
          <w:b/>
          <w:bCs/>
          <w:sz w:val="28"/>
          <w:szCs w:val="28"/>
        </w:rPr>
        <w:t>9% Staatsquote</w:t>
      </w:r>
    </w:p>
    <w:p w14:paraId="6ADE982C" w14:textId="57090535" w:rsidR="00E00C19" w:rsidRPr="00EA74C8" w:rsidRDefault="00EA74C8" w:rsidP="00EA74C8">
      <w:pPr>
        <w:pStyle w:val="Listenabsatz"/>
        <w:numPr>
          <w:ilvl w:val="0"/>
          <w:numId w:val="18"/>
        </w:numPr>
        <w:tabs>
          <w:tab w:val="left" w:pos="5103"/>
        </w:tabs>
        <w:rPr>
          <w:sz w:val="28"/>
          <w:szCs w:val="28"/>
        </w:rPr>
      </w:pPr>
      <w:r w:rsidRPr="00EA74C8">
        <w:rPr>
          <w:b/>
          <w:bCs/>
          <w:sz w:val="28"/>
          <w:szCs w:val="28"/>
        </w:rPr>
        <w:t>9% Steuersenkung</w:t>
      </w:r>
      <w:r w:rsidR="00F97A52" w:rsidRPr="00EA74C8">
        <w:rPr>
          <w:b/>
          <w:bCs/>
          <w:sz w:val="28"/>
          <w:szCs w:val="28"/>
        </w:rPr>
        <w:br/>
      </w:r>
    </w:p>
    <w:p w14:paraId="0DA2B7CF" w14:textId="77777777" w:rsidR="00E00C19" w:rsidRPr="00E00C19" w:rsidRDefault="00E00C19" w:rsidP="00A71527">
      <w:pPr>
        <w:tabs>
          <w:tab w:val="left" w:pos="5103"/>
        </w:tabs>
        <w:rPr>
          <w:sz w:val="28"/>
          <w:szCs w:val="28"/>
        </w:rPr>
      </w:pPr>
    </w:p>
    <w:p w14:paraId="712B608D" w14:textId="6AAEEFF1" w:rsidR="008303EC" w:rsidRPr="00672D86" w:rsidRDefault="00523CE8" w:rsidP="00672D86">
      <w:pPr>
        <w:tabs>
          <w:tab w:val="left" w:pos="5103"/>
        </w:tabs>
        <w:rPr>
          <w:sz w:val="28"/>
          <w:szCs w:val="28"/>
        </w:rPr>
      </w:pPr>
      <w:r>
        <w:rPr>
          <w:sz w:val="28"/>
          <w:szCs w:val="28"/>
        </w:rPr>
        <w:t>26</w:t>
      </w:r>
      <w:r w:rsidR="00204B0B">
        <w:rPr>
          <w:sz w:val="28"/>
          <w:szCs w:val="28"/>
        </w:rPr>
        <w:t>.9.21</w:t>
      </w:r>
      <w:r w:rsidR="008303EC">
        <w:rPr>
          <w:sz w:val="28"/>
          <w:szCs w:val="28"/>
        </w:rPr>
        <w:t>/Ueli Fisch</w:t>
      </w:r>
    </w:p>
    <w:sectPr w:rsidR="008303EC" w:rsidRPr="00672D86" w:rsidSect="00003F37">
      <w:pgSz w:w="11906" w:h="16838"/>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190D6" w14:textId="77777777" w:rsidR="004C770D" w:rsidRDefault="004C770D" w:rsidP="004929F6">
      <w:pPr>
        <w:spacing w:after="0" w:line="240" w:lineRule="auto"/>
      </w:pPr>
      <w:r>
        <w:separator/>
      </w:r>
    </w:p>
  </w:endnote>
  <w:endnote w:type="continuationSeparator" w:id="0">
    <w:p w14:paraId="56C39A07" w14:textId="77777777" w:rsidR="004C770D" w:rsidRDefault="004C770D" w:rsidP="0049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4D65C" w14:textId="77777777" w:rsidR="004C770D" w:rsidRDefault="004C770D" w:rsidP="004929F6">
      <w:pPr>
        <w:spacing w:after="0" w:line="240" w:lineRule="auto"/>
      </w:pPr>
      <w:r>
        <w:separator/>
      </w:r>
    </w:p>
  </w:footnote>
  <w:footnote w:type="continuationSeparator" w:id="0">
    <w:p w14:paraId="42F3C1E1" w14:textId="77777777" w:rsidR="004C770D" w:rsidRDefault="004C770D" w:rsidP="00492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6F7C"/>
    <w:multiLevelType w:val="multilevel"/>
    <w:tmpl w:val="569E49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C5490C"/>
    <w:multiLevelType w:val="hybridMultilevel"/>
    <w:tmpl w:val="502AB31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465271A"/>
    <w:multiLevelType w:val="hybridMultilevel"/>
    <w:tmpl w:val="831C5B6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8843E03"/>
    <w:multiLevelType w:val="hybridMultilevel"/>
    <w:tmpl w:val="9322F5D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90A5CF6"/>
    <w:multiLevelType w:val="hybridMultilevel"/>
    <w:tmpl w:val="2A4CFB0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0297B54"/>
    <w:multiLevelType w:val="hybridMultilevel"/>
    <w:tmpl w:val="65165AA4"/>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0FA40EF"/>
    <w:multiLevelType w:val="hybridMultilevel"/>
    <w:tmpl w:val="AA04F72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1BB4B7E"/>
    <w:multiLevelType w:val="hybridMultilevel"/>
    <w:tmpl w:val="AAD0662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1F27127"/>
    <w:multiLevelType w:val="hybridMultilevel"/>
    <w:tmpl w:val="A94EC39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DB95825"/>
    <w:multiLevelType w:val="hybridMultilevel"/>
    <w:tmpl w:val="9516EA4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81114B5"/>
    <w:multiLevelType w:val="hybridMultilevel"/>
    <w:tmpl w:val="EFC05FC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F880F2A"/>
    <w:multiLevelType w:val="hybridMultilevel"/>
    <w:tmpl w:val="C1E4EC4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449134C1"/>
    <w:multiLevelType w:val="hybridMultilevel"/>
    <w:tmpl w:val="2650259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46685284"/>
    <w:multiLevelType w:val="hybridMultilevel"/>
    <w:tmpl w:val="C48E1B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B8B640E"/>
    <w:multiLevelType w:val="hybridMultilevel"/>
    <w:tmpl w:val="7166B20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CC73BAF"/>
    <w:multiLevelType w:val="hybridMultilevel"/>
    <w:tmpl w:val="CA745FD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9594A14"/>
    <w:multiLevelType w:val="hybridMultilevel"/>
    <w:tmpl w:val="3C7CD1C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7C4E7F3C"/>
    <w:multiLevelType w:val="hybridMultilevel"/>
    <w:tmpl w:val="FC54B89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15"/>
  </w:num>
  <w:num w:numId="4">
    <w:abstractNumId w:val="5"/>
  </w:num>
  <w:num w:numId="5">
    <w:abstractNumId w:val="1"/>
  </w:num>
  <w:num w:numId="6">
    <w:abstractNumId w:val="3"/>
  </w:num>
  <w:num w:numId="7">
    <w:abstractNumId w:val="10"/>
  </w:num>
  <w:num w:numId="8">
    <w:abstractNumId w:val="2"/>
  </w:num>
  <w:num w:numId="9">
    <w:abstractNumId w:val="9"/>
  </w:num>
  <w:num w:numId="10">
    <w:abstractNumId w:val="17"/>
  </w:num>
  <w:num w:numId="11">
    <w:abstractNumId w:val="8"/>
  </w:num>
  <w:num w:numId="12">
    <w:abstractNumId w:val="13"/>
  </w:num>
  <w:num w:numId="13">
    <w:abstractNumId w:val="6"/>
  </w:num>
  <w:num w:numId="14">
    <w:abstractNumId w:val="16"/>
  </w:num>
  <w:num w:numId="15">
    <w:abstractNumId w:val="0"/>
  </w:num>
  <w:num w:numId="16">
    <w:abstractNumId w:val="4"/>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F6"/>
    <w:rsid w:val="00003F37"/>
    <w:rsid w:val="000068D9"/>
    <w:rsid w:val="00023729"/>
    <w:rsid w:val="0003097F"/>
    <w:rsid w:val="00043080"/>
    <w:rsid w:val="000522CD"/>
    <w:rsid w:val="00055221"/>
    <w:rsid w:val="00064CB5"/>
    <w:rsid w:val="000A5147"/>
    <w:rsid w:val="000A5E1B"/>
    <w:rsid w:val="000A6764"/>
    <w:rsid w:val="000C0CB8"/>
    <w:rsid w:val="000D4723"/>
    <w:rsid w:val="0010497C"/>
    <w:rsid w:val="00106427"/>
    <w:rsid w:val="001130CB"/>
    <w:rsid w:val="00123490"/>
    <w:rsid w:val="0014571A"/>
    <w:rsid w:val="00147729"/>
    <w:rsid w:val="00156095"/>
    <w:rsid w:val="00174E1C"/>
    <w:rsid w:val="001C26C6"/>
    <w:rsid w:val="001D00C9"/>
    <w:rsid w:val="001D4E41"/>
    <w:rsid w:val="001E1477"/>
    <w:rsid w:val="00204B0B"/>
    <w:rsid w:val="0021533E"/>
    <w:rsid w:val="00223DB6"/>
    <w:rsid w:val="00271FDC"/>
    <w:rsid w:val="0028259B"/>
    <w:rsid w:val="002828C7"/>
    <w:rsid w:val="002966B7"/>
    <w:rsid w:val="00296DFB"/>
    <w:rsid w:val="002A0D9A"/>
    <w:rsid w:val="002B14A8"/>
    <w:rsid w:val="002B4C5C"/>
    <w:rsid w:val="002F37FB"/>
    <w:rsid w:val="00311289"/>
    <w:rsid w:val="003209C0"/>
    <w:rsid w:val="00367054"/>
    <w:rsid w:val="0037315B"/>
    <w:rsid w:val="0037388F"/>
    <w:rsid w:val="003A0BCD"/>
    <w:rsid w:val="003B4779"/>
    <w:rsid w:val="003C26C2"/>
    <w:rsid w:val="00412438"/>
    <w:rsid w:val="0043744C"/>
    <w:rsid w:val="004376AA"/>
    <w:rsid w:val="00453784"/>
    <w:rsid w:val="00471F23"/>
    <w:rsid w:val="004748EA"/>
    <w:rsid w:val="004832E7"/>
    <w:rsid w:val="0048707E"/>
    <w:rsid w:val="004929F6"/>
    <w:rsid w:val="004B4577"/>
    <w:rsid w:val="004B76A6"/>
    <w:rsid w:val="004C770D"/>
    <w:rsid w:val="004D778A"/>
    <w:rsid w:val="00507BC0"/>
    <w:rsid w:val="00523CE8"/>
    <w:rsid w:val="0052778F"/>
    <w:rsid w:val="00537BB9"/>
    <w:rsid w:val="00546D89"/>
    <w:rsid w:val="00550CC3"/>
    <w:rsid w:val="00581BB0"/>
    <w:rsid w:val="00584785"/>
    <w:rsid w:val="00585811"/>
    <w:rsid w:val="00586497"/>
    <w:rsid w:val="005A657C"/>
    <w:rsid w:val="005B1957"/>
    <w:rsid w:val="005F1F1C"/>
    <w:rsid w:val="0063679A"/>
    <w:rsid w:val="006501AA"/>
    <w:rsid w:val="00672D86"/>
    <w:rsid w:val="00682470"/>
    <w:rsid w:val="006A7E88"/>
    <w:rsid w:val="006C30B7"/>
    <w:rsid w:val="006D3BC6"/>
    <w:rsid w:val="00700DB0"/>
    <w:rsid w:val="00705AC6"/>
    <w:rsid w:val="0074764A"/>
    <w:rsid w:val="00786BFB"/>
    <w:rsid w:val="0078759D"/>
    <w:rsid w:val="007A3DFB"/>
    <w:rsid w:val="007F083D"/>
    <w:rsid w:val="008303EC"/>
    <w:rsid w:val="00842B37"/>
    <w:rsid w:val="00844F82"/>
    <w:rsid w:val="00845FF3"/>
    <w:rsid w:val="0085234D"/>
    <w:rsid w:val="00861F82"/>
    <w:rsid w:val="00862488"/>
    <w:rsid w:val="0087506A"/>
    <w:rsid w:val="00934DC6"/>
    <w:rsid w:val="00950189"/>
    <w:rsid w:val="009624BF"/>
    <w:rsid w:val="00997B55"/>
    <w:rsid w:val="009A2A25"/>
    <w:rsid w:val="009E6394"/>
    <w:rsid w:val="00A15E67"/>
    <w:rsid w:val="00A313DD"/>
    <w:rsid w:val="00A46356"/>
    <w:rsid w:val="00A700EA"/>
    <w:rsid w:val="00A71527"/>
    <w:rsid w:val="00A74538"/>
    <w:rsid w:val="00A806E3"/>
    <w:rsid w:val="00A83154"/>
    <w:rsid w:val="00AB4346"/>
    <w:rsid w:val="00AF2DA9"/>
    <w:rsid w:val="00B06E16"/>
    <w:rsid w:val="00B127FC"/>
    <w:rsid w:val="00B3530F"/>
    <w:rsid w:val="00B779DF"/>
    <w:rsid w:val="00BA5B4A"/>
    <w:rsid w:val="00BB69F8"/>
    <w:rsid w:val="00BC4644"/>
    <w:rsid w:val="00BD7226"/>
    <w:rsid w:val="00BE1C36"/>
    <w:rsid w:val="00C13F45"/>
    <w:rsid w:val="00C57721"/>
    <w:rsid w:val="00C848ED"/>
    <w:rsid w:val="00CE0914"/>
    <w:rsid w:val="00CE7262"/>
    <w:rsid w:val="00D01EBC"/>
    <w:rsid w:val="00D15A9A"/>
    <w:rsid w:val="00D53FB8"/>
    <w:rsid w:val="00D65DC2"/>
    <w:rsid w:val="00D9408F"/>
    <w:rsid w:val="00DB5FCC"/>
    <w:rsid w:val="00DD56BB"/>
    <w:rsid w:val="00DE2E03"/>
    <w:rsid w:val="00DF0FC2"/>
    <w:rsid w:val="00E00C19"/>
    <w:rsid w:val="00E10EB7"/>
    <w:rsid w:val="00E6322A"/>
    <w:rsid w:val="00E859E4"/>
    <w:rsid w:val="00EA74C8"/>
    <w:rsid w:val="00ED56B2"/>
    <w:rsid w:val="00F239F9"/>
    <w:rsid w:val="00F23D36"/>
    <w:rsid w:val="00F304EF"/>
    <w:rsid w:val="00F3680E"/>
    <w:rsid w:val="00F4170A"/>
    <w:rsid w:val="00F42D65"/>
    <w:rsid w:val="00F612EF"/>
    <w:rsid w:val="00F67628"/>
    <w:rsid w:val="00F71290"/>
    <w:rsid w:val="00F73EDE"/>
    <w:rsid w:val="00F8746D"/>
    <w:rsid w:val="00F97A52"/>
    <w:rsid w:val="00FB085F"/>
    <w:rsid w:val="00FC7FCC"/>
    <w:rsid w:val="00FE3086"/>
    <w:rsid w:val="00FE761C"/>
  </w:rsids>
  <m:mathPr>
    <m:mathFont m:val="Cambria Math"/>
    <m:brkBin m:val="before"/>
    <m:brkBinSub m:val="--"/>
    <m:smallFrac m:val="0"/>
    <m:dispDef/>
    <m:lMargin m:val="0"/>
    <m:rMargin m:val="0"/>
    <m:defJc m:val="centerGroup"/>
    <m:wrapIndent m:val="1440"/>
    <m:intLim m:val="subSup"/>
    <m:naryLim m:val="undOvr"/>
  </m:mathPr>
  <w:themeFontLang w:val="de-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C975B"/>
  <w15:docId w15:val="{C14D75E8-23B2-496B-9055-1E469DEF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929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29F6"/>
  </w:style>
  <w:style w:type="paragraph" w:styleId="Fuzeile">
    <w:name w:val="footer"/>
    <w:basedOn w:val="Standard"/>
    <w:link w:val="FuzeileZchn"/>
    <w:uiPriority w:val="99"/>
    <w:unhideWhenUsed/>
    <w:rsid w:val="004929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29F6"/>
  </w:style>
  <w:style w:type="paragraph" w:styleId="Sprechblasentext">
    <w:name w:val="Balloon Text"/>
    <w:basedOn w:val="Standard"/>
    <w:link w:val="SprechblasentextZchn"/>
    <w:uiPriority w:val="99"/>
    <w:semiHidden/>
    <w:unhideWhenUsed/>
    <w:rsid w:val="004929F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29F6"/>
    <w:rPr>
      <w:rFonts w:ascii="Tahoma" w:hAnsi="Tahoma" w:cs="Tahoma"/>
      <w:sz w:val="16"/>
      <w:szCs w:val="16"/>
    </w:rPr>
  </w:style>
  <w:style w:type="character" w:styleId="Hyperlink">
    <w:name w:val="Hyperlink"/>
    <w:basedOn w:val="Absatz-Standardschriftart"/>
    <w:uiPriority w:val="99"/>
    <w:unhideWhenUsed/>
    <w:rsid w:val="004929F6"/>
    <w:rPr>
      <w:color w:val="0000FF" w:themeColor="hyperlink"/>
      <w:u w:val="single"/>
    </w:rPr>
  </w:style>
  <w:style w:type="table" w:styleId="Tabellenraster">
    <w:name w:val="Table Grid"/>
    <w:basedOn w:val="NormaleTabelle"/>
    <w:uiPriority w:val="59"/>
    <w:rsid w:val="00BC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4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14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4885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esp business ag</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Ueli Fisch</dc:creator>
  <cp:lastModifiedBy>Reto Ammann</cp:lastModifiedBy>
  <cp:revision>2</cp:revision>
  <cp:lastPrinted>2018-11-20T21:59:00Z</cp:lastPrinted>
  <dcterms:created xsi:type="dcterms:W3CDTF">2021-09-27T06:22:00Z</dcterms:created>
  <dcterms:modified xsi:type="dcterms:W3CDTF">2021-09-27T06:22:00Z</dcterms:modified>
</cp:coreProperties>
</file>